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7157" w14:textId="77777777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14:paraId="44B3E1AF" w14:textId="238D20AC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14:paraId="43E5D090" w14:textId="77777777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14:paraId="627F03EB" w14:textId="77777777"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DC645E2" w14:textId="0221F0E6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2021 год и на плановый период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2022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2023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годов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сформированы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</w:t>
      </w:r>
      <w:r w:rsidRPr="0076110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761105">
        <w:rPr>
          <w:rFonts w:ascii="Times New Roman" w:hAnsi="Times New Roman"/>
          <w:sz w:val="28"/>
          <w:szCs w:val="28"/>
          <w:lang w:eastAsia="ru-RU"/>
        </w:rPr>
        <w:t>315 (с последующими изменениями).</w:t>
      </w:r>
    </w:p>
    <w:p w14:paraId="7A73BE13" w14:textId="22BED74C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реализации 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в 2019 году:</w:t>
      </w:r>
    </w:p>
    <w:p w14:paraId="454FC9FA" w14:textId="1DE02A19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общий объем налоговых и неналоговых доходов бюджета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за 2019 год составил </w:t>
      </w:r>
      <w:r w:rsidR="008F218F">
        <w:rPr>
          <w:rFonts w:ascii="Times New Roman" w:hAnsi="Times New Roman"/>
          <w:sz w:val="28"/>
          <w:szCs w:val="28"/>
          <w:lang w:eastAsia="ru-RU"/>
        </w:rPr>
        <w:t>642,0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 w:rsidR="000D1160">
        <w:rPr>
          <w:rFonts w:ascii="Times New Roman" w:hAnsi="Times New Roman"/>
          <w:sz w:val="28"/>
          <w:szCs w:val="28"/>
          <w:lang w:eastAsia="ru-RU"/>
        </w:rPr>
        <w:t>Р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ост к 2018 году составил </w:t>
      </w:r>
      <w:r w:rsidR="008F218F">
        <w:rPr>
          <w:rFonts w:ascii="Times New Roman" w:hAnsi="Times New Roman"/>
          <w:sz w:val="28"/>
          <w:szCs w:val="28"/>
          <w:lang w:eastAsia="ru-RU"/>
        </w:rPr>
        <w:t>75,2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123313">
        <w:rPr>
          <w:rFonts w:ascii="Times New Roman" w:hAnsi="Times New Roman"/>
          <w:sz w:val="28"/>
          <w:szCs w:val="28"/>
          <w:lang w:eastAsia="ru-RU"/>
        </w:rPr>
        <w:t>. рублей или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18F">
        <w:rPr>
          <w:rFonts w:ascii="Times New Roman" w:hAnsi="Times New Roman"/>
          <w:sz w:val="28"/>
          <w:szCs w:val="28"/>
          <w:lang w:eastAsia="ru-RU"/>
        </w:rPr>
        <w:t>13,3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процента. Выполнение плана обеспечено на </w:t>
      </w:r>
      <w:r w:rsidR="008F218F">
        <w:rPr>
          <w:rFonts w:ascii="Times New Roman" w:hAnsi="Times New Roman"/>
          <w:sz w:val="28"/>
          <w:szCs w:val="28"/>
          <w:lang w:eastAsia="ru-RU"/>
        </w:rPr>
        <w:t>99,7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процента;</w:t>
      </w:r>
    </w:p>
    <w:p w14:paraId="21044507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14:paraId="3BD8E2C7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коронавирусной инфекции и принятых для противодействия ей ограничительных мер, недопущения снижения деловой активности и роста безработицы в республике были приняты два пакета мер по повышению устойчивости экономики, которые предусматривают предоставление налоговых и иных преференций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платежам в бюджет.</w:t>
      </w:r>
    </w:p>
    <w:p w14:paraId="0A80BFD7" w14:textId="77777777" w:rsid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 этой связи и в целях максимального снижения текущих издержек бизнеса в сложных экономических условиях в налоговое законодательство республики</w:t>
      </w:r>
      <w:r w:rsidR="00546D6D">
        <w:rPr>
          <w:rFonts w:ascii="Times New Roman" w:hAnsi="Times New Roman"/>
          <w:sz w:val="28"/>
          <w:szCs w:val="28"/>
          <w:lang w:eastAsia="ru-RU"/>
        </w:rPr>
        <w:t>. Так,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были внесены изменения в законы 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«Об установлении налоговых ставок для отдельных категорий налогоплательщиков, применяющих упрощенную систему налогообложения»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и «О налоге на имущество организаций» в части снижения налоговых ставок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упрощенной системе налогообложения и освобождения от уплаты налога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на имущество для налогоплательщиков, осуществляющих виды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отраслях экономики наиболее пострадавших от распространения новой коронавирусной инфекции, а также для налогоплательщиков, осуществляющих деятельность в области информационных технологий. Одновременно освобождены от уплаты налога на имущество организаций бюджетные, </w:t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>казенные и автономные учреждения, финансируемые из бюджета Республики Башкортостан или из бюджета муниципального образования.</w:t>
      </w:r>
    </w:p>
    <w:p w14:paraId="084C62E4" w14:textId="77777777" w:rsidR="00756BB1" w:rsidRDefault="00756BB1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минимизации последствий распространения новой коронавирусной инфекции</w:t>
      </w:r>
      <w:r w:rsidRPr="00756B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и принятых для противодействия ей ограничительных мер, недопущения снижения деловой активности и роста безработицы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 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Решениями Советов сельских поселений </w:t>
      </w:r>
      <w:r w:rsidR="009A41D1">
        <w:rPr>
          <w:rFonts w:ascii="Times New Roman" w:hAnsi="Times New Roman"/>
          <w:sz w:val="28"/>
          <w:szCs w:val="28"/>
          <w:lang w:eastAsia="ru-RU"/>
        </w:rPr>
        <w:t>освобождены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 от уплаты</w:t>
      </w:r>
      <w:r w:rsidR="009A41D1">
        <w:rPr>
          <w:rFonts w:ascii="Times New Roman" w:hAnsi="Times New Roman"/>
          <w:sz w:val="28"/>
          <w:szCs w:val="28"/>
          <w:lang w:eastAsia="ru-RU"/>
        </w:rPr>
        <w:t xml:space="preserve"> авансовых платежей по земельному налогу организации, включенные в Перечень отраслей, наиболее уязвимых в условиях распространения новой коронавирусной инфекции.</w:t>
      </w:r>
    </w:p>
    <w:p w14:paraId="757A78C0" w14:textId="73CB333F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 w:rsidRP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115A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115A75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основе эффективного использования предоставленных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полномочий.</w:t>
      </w:r>
    </w:p>
    <w:p w14:paraId="7677593B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Вместе с тем, возникшие неблагоприятные явления в экономике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2020 году продолжат оказывать негативное влияние на доходы бюджета последующих периодов. Высокая неопределенность относительно продолжительности пандемии и ограничительных мер и, как следствие, возросшие опасения в вопросе платежеспособности контрагентов и клиентов финансовых институтов, стали факторами, способными негативно повлиять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на скорость восстановления экономики и инвестиционное развитие.</w:t>
      </w:r>
    </w:p>
    <w:p w14:paraId="5BA71375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Изменения федерального законодательства, влияющие на доходы консолидированных бюджетов субъектов Российской Федерации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и формирование региональной налоговой политики, следующие:</w:t>
      </w:r>
    </w:p>
    <w:p w14:paraId="33A2666B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введение налогообложения доходов физических лиц с процентов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вкладам в банках, при котором налоговая база будет определяться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как превышение суммы доходов в виде процентов, полученных гражданином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в течение года по всем вкладам и остаткам на счетах в банках, над суммой процентов, рассчитанной как произведение 1 млн. рублей на ключевую ставку Банка России, действующую на первое число налогового периода;</w:t>
      </w:r>
    </w:p>
    <w:p w14:paraId="783FD476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отмена для организаций обязанности по представлению налоговых деклараций по транспортному и земельному налогам.</w:t>
      </w:r>
    </w:p>
    <w:p w14:paraId="43C6988C" w14:textId="2B3EB29F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14:paraId="34D6F911" w14:textId="7AC87C1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ежегодное формирование Перечня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разрезе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 и их структурных элементов, а также направлений деятельности,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не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относящихся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программам;</w:t>
      </w:r>
    </w:p>
    <w:p w14:paraId="361DE295" w14:textId="42013D25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оценка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 с соблюдением общих требований, установленных Правительством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Федерации;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проведение оценки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в разрезе отдельных доходных </w:t>
      </w:r>
      <w:r w:rsidR="006E057C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>сточников;</w:t>
      </w:r>
    </w:p>
    <w:p w14:paraId="338A4D10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14:paraId="5BBB3DF8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расширение функций автоматизированных систем по монитор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ингу </w:t>
      </w:r>
      <w:r w:rsidR="006E057C">
        <w:rPr>
          <w:rFonts w:ascii="Times New Roman" w:hAnsi="Times New Roman"/>
          <w:sz w:val="28"/>
          <w:szCs w:val="28"/>
          <w:lang w:eastAsia="ru-RU"/>
        </w:rPr>
        <w:br/>
        <w:t>и анализу доходов бюджета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14:paraId="39454729" w14:textId="0E54CFBA" w:rsidR="007357BF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установленных показателей по росту доходов бюджета</w:t>
      </w:r>
      <w:r w:rsidR="003B578A" w:rsidRP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F218F">
        <w:rPr>
          <w:rFonts w:ascii="Times New Roman" w:hAnsi="Times New Roman"/>
          <w:bCs/>
          <w:sz w:val="28"/>
          <w:szCs w:val="28"/>
          <w:lang w:eastAsia="ru-RU"/>
        </w:rPr>
        <w:t>Тановский</w:t>
      </w:r>
      <w:proofErr w:type="spellEnd"/>
      <w:r w:rsidR="008F21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Башкортостан. 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 </w:t>
      </w:r>
      <w:r w:rsidR="003B578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sectPr w:rsidR="007357BF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B6C2" w14:textId="77777777" w:rsidR="00C03251" w:rsidRDefault="00C03251">
      <w:r>
        <w:separator/>
      </w:r>
    </w:p>
  </w:endnote>
  <w:endnote w:type="continuationSeparator" w:id="0">
    <w:p w14:paraId="5F1A9900" w14:textId="77777777" w:rsidR="00C03251" w:rsidRDefault="00C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043A" w14:textId="77777777" w:rsidR="00C03251" w:rsidRDefault="00C03251">
      <w:r>
        <w:separator/>
      </w:r>
    </w:p>
  </w:footnote>
  <w:footnote w:type="continuationSeparator" w:id="0">
    <w:p w14:paraId="60077BC7" w14:textId="77777777" w:rsidR="00C03251" w:rsidRDefault="00C0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BBC6" w14:textId="77777777" w:rsidR="00BE4E71" w:rsidRPr="000F4593" w:rsidRDefault="00BE4E7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3B578A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14:paraId="22C54604" w14:textId="77777777" w:rsidR="00BE4E71" w:rsidRPr="000F4593" w:rsidRDefault="00BE4E7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160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5A75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3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78A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2C24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149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55F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08CE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1E05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7C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6BB1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BA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93F"/>
    <w:rsid w:val="008F218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23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1D1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38B1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4E71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251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71E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01AD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272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60C5"/>
    <w:rsid w:val="00F766E1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6F047"/>
  <w15:docId w15:val="{A1C88D85-4503-49C7-9202-50B36E83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  <w:style w:type="paragraph" w:customStyle="1" w:styleId="ConsTitle">
    <w:name w:val="ConsTitle"/>
    <w:rsid w:val="0012331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2D94-39A8-42DC-9567-594CFCAC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GaliakberovaIF</cp:lastModifiedBy>
  <cp:revision>20</cp:revision>
  <cp:lastPrinted>2020-09-23T04:24:00Z</cp:lastPrinted>
  <dcterms:created xsi:type="dcterms:W3CDTF">2020-09-22T15:14:00Z</dcterms:created>
  <dcterms:modified xsi:type="dcterms:W3CDTF">2020-11-12T06:47:00Z</dcterms:modified>
</cp:coreProperties>
</file>