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1668"/>
        <w:gridCol w:w="4858"/>
      </w:tblGrid>
      <w:tr w:rsidR="00975C9C">
        <w:trPr>
          <w:cantSplit/>
          <w:trHeight w:val="1981"/>
        </w:trPr>
        <w:tc>
          <w:tcPr>
            <w:tcW w:w="4673" w:type="dxa"/>
          </w:tcPr>
          <w:p w:rsidR="00975C9C" w:rsidRDefault="00975C9C">
            <w:pPr>
              <w:tabs>
                <w:tab w:val="left" w:pos="3472"/>
              </w:tabs>
              <w:spacing w:before="120" w:after="60"/>
              <w:ind w:right="-1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975C9C" w:rsidRDefault="00975C9C">
            <w:pPr>
              <w:tabs>
                <w:tab w:val="left" w:pos="3472"/>
              </w:tabs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tt-RU"/>
              </w:rPr>
              <w:t xml:space="preserve">  </w:t>
            </w:r>
          </w:p>
          <w:p w:rsidR="00975C9C" w:rsidRDefault="00975C9C">
            <w:pPr>
              <w:tabs>
                <w:tab w:val="left" w:pos="3472"/>
              </w:tabs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</w:t>
            </w:r>
            <w:r>
              <w:rPr>
                <w:b/>
                <w:bCs/>
                <w:sz w:val="22"/>
                <w:szCs w:val="22"/>
              </w:rPr>
              <w:t xml:space="preserve">ЛАГОВАР РАЙОНЫ </w:t>
            </w:r>
          </w:p>
          <w:p w:rsidR="00975C9C" w:rsidRDefault="00975C9C">
            <w:pPr>
              <w:tabs>
                <w:tab w:val="left" w:pos="3472"/>
              </w:tabs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975C9C" w:rsidRDefault="00975C9C">
            <w:pPr>
              <w:tabs>
                <w:tab w:val="left" w:pos="3472"/>
              </w:tabs>
              <w:autoSpaceDE w:val="0"/>
              <w:autoSpaceDN w:val="0"/>
              <w:ind w:left="-170" w:right="-17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>ТАН</w:t>
            </w:r>
            <w:r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АУЫЛ СОВЕТЫ АУЫЛ БИЛӘМӘҺЕ  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5C9C" w:rsidRDefault="00975C9C">
            <w:pPr>
              <w:tabs>
                <w:tab w:val="left" w:pos="3472"/>
              </w:tabs>
              <w:autoSpaceDE w:val="0"/>
              <w:autoSpaceDN w:val="0"/>
              <w:ind w:left="-113" w:right="-7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 w:rsidRPr="0082468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81pt">
                  <v:imagedata r:id="rId5" o:title=""/>
                </v:shape>
              </w:pict>
            </w:r>
          </w:p>
        </w:tc>
        <w:tc>
          <w:tcPr>
            <w:tcW w:w="4858" w:type="dxa"/>
          </w:tcPr>
          <w:p w:rsidR="00975C9C" w:rsidRDefault="00975C9C">
            <w:pPr>
              <w:tabs>
                <w:tab w:val="left" w:pos="3472"/>
              </w:tabs>
              <w:spacing w:before="120" w:after="60"/>
              <w:ind w:right="-28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975C9C" w:rsidRDefault="00975C9C">
            <w:pPr>
              <w:tabs>
                <w:tab w:val="left" w:pos="3472"/>
              </w:tabs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975C9C" w:rsidRDefault="00975C9C">
            <w:pPr>
              <w:tabs>
                <w:tab w:val="left" w:pos="3472"/>
              </w:tabs>
              <w:autoSpaceDE w:val="0"/>
              <w:autoSpaceDN w:val="0"/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975C9C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5C9C" w:rsidRDefault="00975C9C">
            <w:pPr>
              <w:tabs>
                <w:tab w:val="left" w:pos="3472"/>
              </w:tabs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Коммуна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975C9C" w:rsidRDefault="00975C9C">
            <w:pPr>
              <w:autoSpaceDE w:val="0"/>
              <w:autoSpaceDN w:val="0"/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5C9C" w:rsidRDefault="00975C9C">
            <w:pPr>
              <w:rPr>
                <w:sz w:val="30"/>
                <w:szCs w:val="3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5C9C" w:rsidRDefault="00975C9C">
            <w:pPr>
              <w:tabs>
                <w:tab w:val="left" w:pos="3472"/>
              </w:tabs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975C9C" w:rsidRDefault="00975C9C">
            <w:pPr>
              <w:autoSpaceDE w:val="0"/>
              <w:autoSpaceDN w:val="0"/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975C9C" w:rsidRDefault="00975C9C" w:rsidP="00CC193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БОЙОРОК                                                           РАСПОРЯЖЕНИЯ</w:t>
      </w:r>
    </w:p>
    <w:p w:rsidR="00975C9C" w:rsidRDefault="00975C9C" w:rsidP="00CC193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«03» февраля  2020й                         № 03                       «03»февраля 2020г.</w:t>
      </w:r>
    </w:p>
    <w:p w:rsidR="00975C9C" w:rsidRPr="00650460" w:rsidRDefault="00975C9C" w:rsidP="00650460">
      <w:pPr>
        <w:jc w:val="center"/>
        <w:rPr>
          <w:b/>
          <w:bCs/>
          <w:color w:val="000000"/>
          <w:sz w:val="28"/>
          <w:szCs w:val="28"/>
        </w:rPr>
      </w:pPr>
      <w:r w:rsidRPr="00650460">
        <w:rPr>
          <w:b/>
          <w:bCs/>
          <w:color w:val="000000"/>
          <w:sz w:val="28"/>
          <w:szCs w:val="28"/>
        </w:rPr>
        <w:t xml:space="preserve">О порядке взаимодействия администрации сельского поселения </w:t>
      </w:r>
      <w:r>
        <w:rPr>
          <w:b/>
          <w:bCs/>
          <w:color w:val="000000"/>
          <w:sz w:val="28"/>
          <w:szCs w:val="28"/>
        </w:rPr>
        <w:t xml:space="preserve"> Тановский</w:t>
      </w:r>
      <w:r w:rsidRPr="00650460">
        <w:rPr>
          <w:b/>
          <w:bCs/>
          <w:color w:val="000000"/>
          <w:sz w:val="28"/>
          <w:szCs w:val="28"/>
        </w:rPr>
        <w:t xml:space="preserve"> сельсовет мун</w:t>
      </w:r>
      <w:r>
        <w:rPr>
          <w:b/>
          <w:bCs/>
          <w:color w:val="000000"/>
          <w:sz w:val="28"/>
          <w:szCs w:val="28"/>
        </w:rPr>
        <w:t xml:space="preserve">иципального района Благоварский </w:t>
      </w:r>
      <w:r w:rsidRPr="00650460">
        <w:rPr>
          <w:b/>
          <w:bCs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975C9C" w:rsidRPr="00650460" w:rsidRDefault="00975C9C" w:rsidP="00650460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650460">
        <w:rPr>
          <w:color w:val="000000"/>
        </w:rPr>
        <w:t xml:space="preserve">В соответствии с </w:t>
      </w:r>
      <w:hyperlink r:id="rId6" w:history="1">
        <w:r w:rsidRPr="00650460">
          <w:rPr>
            <w:color w:val="000000"/>
          </w:rPr>
          <w:t>частью 6 статьи 99</w:t>
        </w:r>
      </w:hyperlink>
      <w:r w:rsidRPr="00650460">
        <w:rPr>
          <w:color w:val="000000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650460">
          <w:rPr>
            <w:color w:val="000000"/>
          </w:rPr>
          <w:t>пунктом 11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hyperlink r:id="rId8" w:history="1">
        <w:r w:rsidRPr="00650460">
          <w:rPr>
            <w:color w:val="000000"/>
          </w:rPr>
          <w:t>Приказом</w:t>
        </w:r>
      </w:hyperlink>
      <w:r w:rsidRPr="00650460">
        <w:rPr>
          <w:color w:val="000000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975C9C" w:rsidRPr="00650460" w:rsidRDefault="00975C9C" w:rsidP="006504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 </w:t>
      </w:r>
      <w:r w:rsidRPr="00650460">
        <w:rPr>
          <w:b/>
          <w:bCs/>
          <w:color w:val="000000"/>
          <w:sz w:val="28"/>
          <w:szCs w:val="28"/>
        </w:rPr>
        <w:t>РАСПОРЯЖАЮСЬ</w:t>
      </w:r>
      <w:r w:rsidRPr="00650460">
        <w:rPr>
          <w:color w:val="000000"/>
          <w:sz w:val="28"/>
          <w:szCs w:val="28"/>
        </w:rPr>
        <w:t>:</w:t>
      </w:r>
    </w:p>
    <w:p w:rsidR="00975C9C" w:rsidRPr="00650460" w:rsidRDefault="00975C9C" w:rsidP="00650460">
      <w:pPr>
        <w:widowControl w:val="0"/>
        <w:numPr>
          <w:ilvl w:val="0"/>
          <w:numId w:val="12"/>
        </w:numPr>
        <w:autoSpaceDE w:val="0"/>
        <w:autoSpaceDN w:val="0"/>
        <w:ind w:left="0" w:firstLine="567"/>
        <w:jc w:val="both"/>
        <w:rPr>
          <w:color w:val="000000"/>
        </w:rPr>
      </w:pPr>
      <w:r w:rsidRPr="00650460">
        <w:rPr>
          <w:color w:val="000000"/>
        </w:rPr>
        <w:t xml:space="preserve">Утвердить прилагаемый </w:t>
      </w:r>
      <w:hyperlink w:anchor="P36" w:history="1">
        <w:r w:rsidRPr="00650460">
          <w:rPr>
            <w:color w:val="000000"/>
          </w:rPr>
          <w:t>порядок</w:t>
        </w:r>
      </w:hyperlink>
      <w:r w:rsidRPr="00650460">
        <w:rPr>
          <w:color w:val="000000"/>
        </w:rPr>
        <w:t xml:space="preserve"> взаимодействия администрации сельского поселения </w:t>
      </w:r>
      <w:r>
        <w:rPr>
          <w:color w:val="000000"/>
        </w:rPr>
        <w:t xml:space="preserve"> Тановский</w:t>
      </w:r>
      <w:r w:rsidRPr="00650460">
        <w:rPr>
          <w:color w:val="000000"/>
        </w:rPr>
        <w:t xml:space="preserve"> сельсовет мун</w:t>
      </w:r>
      <w:r>
        <w:rPr>
          <w:color w:val="000000"/>
        </w:rPr>
        <w:t>иципального района Благоварский</w:t>
      </w:r>
      <w:r w:rsidRPr="00650460">
        <w:rPr>
          <w:color w:val="000000"/>
        </w:rPr>
        <w:t xml:space="preserve"> район Республики Башкортостан с субъектами контроля, указанными в </w:t>
      </w:r>
      <w:hyperlink r:id="rId9" w:history="1">
        <w:r w:rsidRPr="00650460">
          <w:rPr>
            <w:color w:val="000000"/>
          </w:rPr>
          <w:t>пункте 4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</w:p>
    <w:p w:rsidR="00975C9C" w:rsidRPr="00650460" w:rsidRDefault="00975C9C" w:rsidP="0065046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2.    </w:t>
      </w:r>
      <w:r w:rsidRPr="00650460">
        <w:rPr>
          <w:lang w:eastAsia="en-US"/>
        </w:rPr>
        <w:t xml:space="preserve">Распоряжение администрации сельского поселения </w:t>
      </w:r>
      <w:r>
        <w:rPr>
          <w:lang w:eastAsia="en-US"/>
        </w:rPr>
        <w:t>Тановский</w:t>
      </w:r>
      <w:r w:rsidRPr="00650460">
        <w:rPr>
          <w:lang w:eastAsia="en-US"/>
        </w:rPr>
        <w:t xml:space="preserve"> </w:t>
      </w:r>
      <w:r>
        <w:rPr>
          <w:lang w:eastAsia="en-US"/>
        </w:rPr>
        <w:t xml:space="preserve"> сельсовет </w:t>
      </w:r>
      <w:r w:rsidRPr="00650460">
        <w:rPr>
          <w:lang w:eastAsia="en-US"/>
        </w:rPr>
        <w:t>мун</w:t>
      </w:r>
      <w:r>
        <w:rPr>
          <w:lang w:eastAsia="en-US"/>
        </w:rPr>
        <w:t>иципального района Благоварский</w:t>
      </w:r>
      <w:r w:rsidRPr="00650460">
        <w:rPr>
          <w:lang w:eastAsia="en-US"/>
        </w:rPr>
        <w:t xml:space="preserve"> райо</w:t>
      </w:r>
      <w:r>
        <w:rPr>
          <w:lang w:eastAsia="en-US"/>
        </w:rPr>
        <w:t>н Республики Башкортостан от  25.12.2019 года № 55</w:t>
      </w:r>
      <w:r w:rsidRPr="00650460">
        <w:rPr>
          <w:lang w:eastAsia="en-US"/>
        </w:rPr>
        <w:t xml:space="preserve"> считать утратившим силу.</w:t>
      </w:r>
    </w:p>
    <w:p w:rsidR="00975C9C" w:rsidRPr="00650460" w:rsidRDefault="00975C9C" w:rsidP="00650460">
      <w:pPr>
        <w:jc w:val="both"/>
      </w:pPr>
      <w:r>
        <w:t xml:space="preserve">            3.    </w:t>
      </w:r>
      <w:r w:rsidRPr="00650460">
        <w:t xml:space="preserve">Настоящее распоряжение разместить в сети «Интернет» на официальном сайте Администрации сельского поселения </w:t>
      </w:r>
      <w:r>
        <w:t>Тановский</w:t>
      </w:r>
      <w:r w:rsidRPr="00650460">
        <w:t xml:space="preserve"> сельсовет мун</w:t>
      </w:r>
      <w:r>
        <w:t>иципального района Благоварский</w:t>
      </w:r>
      <w:r w:rsidRPr="00650460">
        <w:t xml:space="preserve"> район Республики Башкортостан и обнародовать на информационном стенде в здании Администрации сельского поселения </w:t>
      </w:r>
      <w:r>
        <w:t>Тановский</w:t>
      </w:r>
      <w:r w:rsidRPr="00650460">
        <w:t xml:space="preserve"> сельсовет мун</w:t>
      </w:r>
      <w:r>
        <w:t>иципального района Благоварский</w:t>
      </w:r>
      <w:r w:rsidRPr="00650460">
        <w:t xml:space="preserve"> район Республики Башкортостан.</w:t>
      </w:r>
    </w:p>
    <w:p w:rsidR="00975C9C" w:rsidRPr="00650460" w:rsidRDefault="00975C9C" w:rsidP="00650460">
      <w:pPr>
        <w:widowControl w:val="0"/>
        <w:numPr>
          <w:ilvl w:val="0"/>
          <w:numId w:val="12"/>
        </w:numPr>
        <w:autoSpaceDE w:val="0"/>
        <w:autoSpaceDN w:val="0"/>
        <w:ind w:left="0" w:firstLine="567"/>
        <w:jc w:val="both"/>
        <w:rPr>
          <w:color w:val="000000"/>
        </w:rPr>
      </w:pPr>
      <w:r w:rsidRPr="00650460">
        <w:rPr>
          <w:color w:val="000000"/>
        </w:rPr>
        <w:t>Контроль за исполнением настоящего Распоряжения оставляю за собой.</w:t>
      </w:r>
    </w:p>
    <w:p w:rsidR="00975C9C" w:rsidRPr="00650460" w:rsidRDefault="00975C9C" w:rsidP="00650460">
      <w:pPr>
        <w:widowControl w:val="0"/>
        <w:autoSpaceDE w:val="0"/>
        <w:autoSpaceDN w:val="0"/>
        <w:ind w:left="1349"/>
        <w:jc w:val="both"/>
        <w:rPr>
          <w:color w:val="000000"/>
          <w:sz w:val="28"/>
          <w:szCs w:val="28"/>
        </w:rPr>
      </w:pPr>
    </w:p>
    <w:p w:rsidR="00975C9C" w:rsidRPr="00E215C8" w:rsidRDefault="00975C9C" w:rsidP="00650460">
      <w:pPr>
        <w:jc w:val="both"/>
      </w:pPr>
      <w:r>
        <w:rPr>
          <w:color w:val="000000"/>
          <w:sz w:val="28"/>
          <w:szCs w:val="28"/>
        </w:rPr>
        <w:t xml:space="preserve">           </w:t>
      </w:r>
      <w:r w:rsidRPr="00650460">
        <w:rPr>
          <w:color w:val="000000"/>
          <w:sz w:val="28"/>
          <w:szCs w:val="28"/>
        </w:rPr>
        <w:t xml:space="preserve"> </w:t>
      </w:r>
      <w:r w:rsidRPr="00E215C8">
        <w:t xml:space="preserve">Глава администрации </w:t>
      </w:r>
    </w:p>
    <w:p w:rsidR="00975C9C" w:rsidRPr="00E215C8" w:rsidRDefault="00975C9C" w:rsidP="00650460">
      <w:pPr>
        <w:jc w:val="both"/>
      </w:pPr>
      <w:r w:rsidRPr="00E215C8">
        <w:t xml:space="preserve">             сельского поселения</w:t>
      </w:r>
    </w:p>
    <w:p w:rsidR="00975C9C" w:rsidRPr="00E215C8" w:rsidRDefault="00975C9C" w:rsidP="00650460">
      <w:pPr>
        <w:jc w:val="both"/>
      </w:pPr>
      <w:r>
        <w:t xml:space="preserve">             Тановский</w:t>
      </w:r>
      <w:r w:rsidRPr="00E215C8">
        <w:t xml:space="preserve">  сельсовет </w:t>
      </w:r>
    </w:p>
    <w:p w:rsidR="00975C9C" w:rsidRPr="00E215C8" w:rsidRDefault="00975C9C" w:rsidP="00650460">
      <w:pPr>
        <w:jc w:val="both"/>
      </w:pPr>
      <w:r w:rsidRPr="00E215C8">
        <w:t xml:space="preserve">             муниципального района</w:t>
      </w:r>
    </w:p>
    <w:p w:rsidR="00975C9C" w:rsidRPr="00E215C8" w:rsidRDefault="00975C9C" w:rsidP="00650460">
      <w:pPr>
        <w:keepNext/>
        <w:outlineLvl w:val="5"/>
      </w:pPr>
      <w:r>
        <w:t xml:space="preserve">             Благоварский</w:t>
      </w:r>
      <w:r w:rsidRPr="00E215C8">
        <w:t xml:space="preserve"> район </w:t>
      </w:r>
    </w:p>
    <w:p w:rsidR="00975C9C" w:rsidRPr="00E215C8" w:rsidRDefault="00975C9C" w:rsidP="00650460">
      <w:pPr>
        <w:keepNext/>
        <w:outlineLvl w:val="5"/>
      </w:pPr>
      <w:r w:rsidRPr="00E215C8">
        <w:t xml:space="preserve">             Республики Башкортостан:                        </w:t>
      </w:r>
      <w:r>
        <w:t xml:space="preserve">          М.Ф.Гималетдинов </w:t>
      </w:r>
    </w:p>
    <w:p w:rsidR="00975C9C" w:rsidRDefault="00975C9C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975C9C" w:rsidRPr="00650460" w:rsidRDefault="00975C9C" w:rsidP="00650460">
      <w:pPr>
        <w:widowControl w:val="0"/>
        <w:autoSpaceDE w:val="0"/>
        <w:autoSpaceDN w:val="0"/>
        <w:ind w:firstLine="539"/>
        <w:jc w:val="both"/>
        <w:rPr>
          <w:color w:val="000000"/>
          <w:sz w:val="26"/>
          <w:szCs w:val="26"/>
        </w:rPr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Ind w:w="-106" w:type="dxa"/>
        <w:tblLook w:val="00A0"/>
      </w:tblPr>
      <w:tblGrid>
        <w:gridCol w:w="4785"/>
        <w:gridCol w:w="5388"/>
      </w:tblGrid>
      <w:tr w:rsidR="00975C9C" w:rsidRPr="00650460">
        <w:tc>
          <w:tcPr>
            <w:tcW w:w="4785" w:type="dxa"/>
          </w:tcPr>
          <w:p w:rsidR="00975C9C" w:rsidRPr="00650460" w:rsidRDefault="00975C9C" w:rsidP="006504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975C9C" w:rsidRPr="00650460" w:rsidRDefault="00975C9C" w:rsidP="00650460">
            <w:pPr>
              <w:ind w:left="-104"/>
              <w:jc w:val="both"/>
              <w:rPr>
                <w:color w:val="000000"/>
              </w:rPr>
            </w:pPr>
            <w:r w:rsidRPr="00650460">
              <w:rPr>
                <w:color w:val="000000"/>
              </w:rPr>
              <w:t xml:space="preserve">Утвержден постановлением администрации сельского поселения </w:t>
            </w:r>
            <w:r>
              <w:rPr>
                <w:color w:val="000000"/>
              </w:rPr>
              <w:t xml:space="preserve">Тановский </w:t>
            </w:r>
            <w:r w:rsidRPr="00650460">
              <w:rPr>
                <w:color w:val="000000"/>
              </w:rPr>
              <w:t xml:space="preserve"> сельсовет мун</w:t>
            </w:r>
            <w:r>
              <w:rPr>
                <w:color w:val="000000"/>
              </w:rPr>
              <w:t>иципального района Благоварский</w:t>
            </w:r>
            <w:r w:rsidRPr="00650460">
              <w:rPr>
                <w:color w:val="000000"/>
              </w:rPr>
              <w:t xml:space="preserve"> район Республики Башкортостан от 03.02.2020 года № </w:t>
            </w:r>
            <w:r>
              <w:rPr>
                <w:color w:val="000000"/>
              </w:rPr>
              <w:t>03</w:t>
            </w:r>
          </w:p>
        </w:tc>
      </w:tr>
    </w:tbl>
    <w:p w:rsidR="00975C9C" w:rsidRPr="00650460" w:rsidRDefault="00975C9C" w:rsidP="00650460">
      <w:pPr>
        <w:jc w:val="both"/>
        <w:rPr>
          <w:color w:val="000000"/>
          <w:sz w:val="26"/>
          <w:szCs w:val="26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650460">
        <w:rPr>
          <w:b/>
          <w:bCs/>
          <w:color w:val="000000"/>
          <w:sz w:val="28"/>
          <w:szCs w:val="28"/>
        </w:rPr>
        <w:t>ПОРЯДОК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650460">
        <w:rPr>
          <w:b/>
          <w:bCs/>
          <w:color w:val="000000"/>
          <w:sz w:val="28"/>
          <w:szCs w:val="28"/>
        </w:rPr>
        <w:t xml:space="preserve">взаимодействия администрации сельского поселения </w:t>
      </w:r>
      <w:r>
        <w:rPr>
          <w:b/>
          <w:bCs/>
          <w:color w:val="000000"/>
          <w:sz w:val="28"/>
          <w:szCs w:val="28"/>
        </w:rPr>
        <w:t xml:space="preserve">Тановский </w:t>
      </w:r>
      <w:r w:rsidRPr="00650460">
        <w:rPr>
          <w:b/>
          <w:bCs/>
          <w:color w:val="000000"/>
          <w:sz w:val="28"/>
          <w:szCs w:val="28"/>
        </w:rPr>
        <w:t xml:space="preserve"> сельсовет</w:t>
      </w:r>
      <w:r w:rsidRPr="00650460">
        <w:rPr>
          <w:color w:val="000000"/>
          <w:sz w:val="28"/>
          <w:szCs w:val="28"/>
        </w:rPr>
        <w:t xml:space="preserve"> </w:t>
      </w:r>
      <w:r w:rsidRPr="00650460">
        <w:rPr>
          <w:b/>
          <w:bCs/>
          <w:color w:val="000000"/>
          <w:sz w:val="28"/>
          <w:szCs w:val="28"/>
        </w:rPr>
        <w:t>мун</w:t>
      </w:r>
      <w:r>
        <w:rPr>
          <w:b/>
          <w:bCs/>
          <w:color w:val="000000"/>
          <w:sz w:val="28"/>
          <w:szCs w:val="28"/>
        </w:rPr>
        <w:t>иципального района Благоварский</w:t>
      </w:r>
      <w:r w:rsidRPr="00650460">
        <w:rPr>
          <w:b/>
          <w:bCs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color w:val="000000"/>
          <w:sz w:val="28"/>
          <w:szCs w:val="28"/>
        </w:rPr>
        <w:t>Тановский</w:t>
      </w:r>
      <w:r w:rsidRPr="00650460">
        <w:rPr>
          <w:color w:val="000000"/>
          <w:sz w:val="28"/>
          <w:szCs w:val="28"/>
        </w:rPr>
        <w:t xml:space="preserve"> сельсовет мун</w:t>
      </w:r>
      <w:r>
        <w:rPr>
          <w:color w:val="000000"/>
          <w:sz w:val="28"/>
          <w:szCs w:val="28"/>
        </w:rPr>
        <w:t>иципального района Благоварский</w:t>
      </w:r>
      <w:r w:rsidRPr="00650460">
        <w:rPr>
          <w:color w:val="000000"/>
          <w:sz w:val="28"/>
          <w:szCs w:val="28"/>
        </w:rPr>
        <w:t xml:space="preserve"> район Республики Башкортостан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 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при согласовании Финансовым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Pr="00650460">
        <w:rPr>
          <w:sz w:val="28"/>
          <w:szCs w:val="28"/>
        </w:rPr>
        <w:t>Финансовый орган</w:t>
      </w:r>
      <w:r w:rsidRPr="00650460">
        <w:rPr>
          <w:color w:val="000000"/>
          <w:sz w:val="28"/>
          <w:szCs w:val="28"/>
        </w:rPr>
        <w:t xml:space="preserve"> в следующих формах: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975C9C" w:rsidRPr="00650460" w:rsidRDefault="00975C9C" w:rsidP="00650460">
      <w:pPr>
        <w:ind w:firstLine="708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Pr="00650460">
        <w:rPr>
          <w:sz w:val="28"/>
          <w:szCs w:val="28"/>
        </w:rPr>
        <w:t>Финансовым органом</w:t>
      </w:r>
      <w:r w:rsidRPr="00650460">
        <w:rPr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650460">
        <w:rPr>
          <w:sz w:val="28"/>
          <w:szCs w:val="28"/>
        </w:rPr>
        <w:t>Финансовый орган с соблюдением требований законодательства Российской Федерации о защите государственной тайны.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9. При осуществлении взаимодействия с субъектами контроля Финансовый орган проверяет в соответствии</w:t>
      </w:r>
      <w:r w:rsidRPr="00650460">
        <w:rPr>
          <w:color w:val="000000"/>
          <w:sz w:val="28"/>
          <w:szCs w:val="28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сельского поселения </w:t>
      </w:r>
      <w:r>
        <w:rPr>
          <w:color w:val="000000"/>
          <w:sz w:val="28"/>
          <w:szCs w:val="28"/>
        </w:rPr>
        <w:t>Тановский</w:t>
      </w:r>
      <w:r w:rsidRPr="00650460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Благоварский</w:t>
      </w:r>
      <w:r w:rsidRPr="00650460">
        <w:rPr>
          <w:sz w:val="28"/>
          <w:szCs w:val="28"/>
        </w:rPr>
        <w:t xml:space="preserve"> район Республики Башкортостан</w:t>
      </w:r>
      <w:r w:rsidRPr="00650460">
        <w:rPr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r>
        <w:rPr>
          <w:color w:val="000000"/>
          <w:sz w:val="28"/>
          <w:szCs w:val="28"/>
        </w:rPr>
        <w:t>Тановский</w:t>
      </w:r>
      <w:r w:rsidRPr="00650460">
        <w:rPr>
          <w:color w:val="000000"/>
          <w:sz w:val="28"/>
          <w:szCs w:val="28"/>
        </w:rPr>
        <w:t xml:space="preserve"> сельсовет </w:t>
      </w:r>
      <w:r w:rsidRPr="00650460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Благоварский</w:t>
      </w:r>
      <w:r w:rsidRPr="00650460">
        <w:rPr>
          <w:sz w:val="28"/>
          <w:szCs w:val="28"/>
        </w:rPr>
        <w:t xml:space="preserve"> район Республики Башкортостан</w:t>
      </w:r>
      <w:r w:rsidRPr="00650460">
        <w:rPr>
          <w:color w:val="000000"/>
          <w:sz w:val="28"/>
          <w:szCs w:val="28"/>
        </w:rPr>
        <w:t xml:space="preserve">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 субъектов контроля, указанных в подпунктах «б», «в» пункта 4 Правил контроля (далее –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>в) субъектов контроля, указанных в подпункте «г» пункта 4 Правил контроля (далее – 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10. 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закупок, являющихся объектами контроля</w:t>
      </w:r>
      <w:r w:rsidRPr="00650460">
        <w:rPr>
          <w:color w:val="000000"/>
          <w:sz w:val="28"/>
          <w:szCs w:val="28"/>
        </w:rPr>
        <w:t xml:space="preserve"> (закрытыми объектами контроля):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>
        <w:rPr>
          <w:color w:val="000000"/>
          <w:sz w:val="28"/>
          <w:szCs w:val="28"/>
        </w:rPr>
        <w:t>Тановский</w:t>
      </w:r>
      <w:r w:rsidRPr="00650460">
        <w:rPr>
          <w:color w:val="000000"/>
          <w:sz w:val="28"/>
          <w:szCs w:val="28"/>
        </w:rPr>
        <w:t xml:space="preserve"> сельсовет мун</w:t>
      </w:r>
      <w:r>
        <w:rPr>
          <w:color w:val="000000"/>
          <w:sz w:val="28"/>
          <w:szCs w:val="28"/>
        </w:rPr>
        <w:t>иципального района Благоварский</w:t>
      </w:r>
      <w:r w:rsidRPr="00650460">
        <w:rPr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>
        <w:rPr>
          <w:color w:val="000000"/>
          <w:sz w:val="28"/>
          <w:szCs w:val="28"/>
        </w:rPr>
        <w:t>Тановский</w:t>
      </w:r>
      <w:r w:rsidRPr="00650460">
        <w:rPr>
          <w:color w:val="000000"/>
          <w:sz w:val="28"/>
          <w:szCs w:val="28"/>
        </w:rPr>
        <w:t xml:space="preserve"> сельсовет  мун</w:t>
      </w:r>
      <w:r>
        <w:rPr>
          <w:color w:val="000000"/>
          <w:sz w:val="28"/>
          <w:szCs w:val="28"/>
        </w:rPr>
        <w:t>иципального района Благоварский</w:t>
      </w:r>
      <w:r w:rsidRPr="00650460">
        <w:rPr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</w:t>
      </w:r>
      <w:r>
        <w:rPr>
          <w:color w:val="000000"/>
          <w:sz w:val="28"/>
          <w:szCs w:val="28"/>
        </w:rPr>
        <w:t>иципального района Благоварский</w:t>
      </w:r>
      <w:r w:rsidRPr="00650460">
        <w:rPr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75C9C" w:rsidRPr="00650460" w:rsidRDefault="00975C9C" w:rsidP="0065046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sz w:val="28"/>
          <w:szCs w:val="28"/>
        </w:rPr>
        <w:t>12. Указанные в пункте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13. Предусмотренное</w:t>
      </w:r>
      <w:r w:rsidRPr="00650460">
        <w:rPr>
          <w:color w:val="000000"/>
          <w:sz w:val="28"/>
          <w:szCs w:val="28"/>
        </w:rPr>
        <w:t xml:space="preserve"> пунктом 11 настоящего Порядка взаимодействие субъектов контроля </w:t>
      </w:r>
      <w:r w:rsidRPr="00650460">
        <w:rPr>
          <w:sz w:val="28"/>
          <w:szCs w:val="28"/>
        </w:rPr>
        <w:t>с Финансовым органом при проверке</w:t>
      </w:r>
      <w:r w:rsidRPr="00650460">
        <w:rPr>
          <w:color w:val="000000"/>
          <w:sz w:val="28"/>
          <w:szCs w:val="28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</w:t>
      </w:r>
      <w:r w:rsidRPr="00650460">
        <w:rPr>
          <w:sz w:val="28"/>
          <w:szCs w:val="28"/>
        </w:rPr>
        <w:t>уведомления о начале контроля или поступления объекта контроля на бумажном носителе в Финансовый орган: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650460">
        <w:rPr>
          <w:sz w:val="28"/>
          <w:szCs w:val="28"/>
        </w:rPr>
        <w:t>Федерации от 12 декабря 2015 года № 1367, утвержденным приказом Министерства финансов Российской Федера</w:t>
      </w:r>
      <w:r>
        <w:rPr>
          <w:sz w:val="28"/>
          <w:szCs w:val="28"/>
        </w:rPr>
        <w:t>ции от 22 июля 2016 года № 120н</w:t>
      </w:r>
      <w:r w:rsidRPr="00650460">
        <w:rPr>
          <w:sz w:val="28"/>
          <w:szCs w:val="28"/>
        </w:rPr>
        <w:t>, или Финансовый орган формирует отметку о соответствии закрытой контролируемой инф</w:t>
      </w:r>
      <w:bookmarkStart w:id="0" w:name="_GoBack"/>
      <w:bookmarkEnd w:id="0"/>
      <w:r w:rsidRPr="00650460">
        <w:rPr>
          <w:sz w:val="28"/>
          <w:szCs w:val="28"/>
        </w:rPr>
        <w:t>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650460">
        <w:rPr>
          <w:color w:val="000000"/>
          <w:sz w:val="28"/>
          <w:szCs w:val="28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</w:t>
      </w:r>
      <w:r>
        <w:rPr>
          <w:color w:val="000000"/>
          <w:sz w:val="28"/>
          <w:szCs w:val="28"/>
        </w:rPr>
        <w:t>по форме согласно приложению № 5</w:t>
      </w:r>
      <w:r w:rsidRPr="00650460">
        <w:rPr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975C9C" w:rsidRPr="00650460" w:rsidRDefault="00975C9C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975C9C" w:rsidRPr="00650460" w:rsidRDefault="00975C9C" w:rsidP="00650460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1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к Порядку взаимодействии при осуществлении контроля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Тановский </w:t>
      </w:r>
      <w:r w:rsidRPr="00650460">
        <w:rPr>
          <w:sz w:val="16"/>
          <w:szCs w:val="16"/>
        </w:rPr>
        <w:t xml:space="preserve"> сельсовет муниципального района  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Благоварский </w:t>
      </w:r>
      <w:r w:rsidRPr="00650460">
        <w:rPr>
          <w:sz w:val="16"/>
          <w:szCs w:val="16"/>
        </w:rPr>
        <w:t xml:space="preserve"> район Республики Башкортостан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 в сфере закупок товаров, работ,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услуг для обеспечения государственных и муниципальных 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нужд", утвержденных Постановлением Правительства</w:t>
      </w:r>
    </w:p>
    <w:p w:rsidR="00975C9C" w:rsidRPr="00650460" w:rsidRDefault="00975C9C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650460">
        <w:rPr>
          <w:rFonts w:ascii="Courier New" w:hAnsi="Courier New" w:cs="Courier New"/>
          <w:sz w:val="16"/>
          <w:szCs w:val="16"/>
        </w:rPr>
        <w:t xml:space="preserve">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" w:name="P135"/>
      <w:bookmarkEnd w:id="1"/>
      <w:r w:rsidRPr="00650460">
        <w:rPr>
          <w:sz w:val="22"/>
          <w:szCs w:val="22"/>
        </w:rPr>
        <w:t>Сведения о приглашении принять участие в определении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650460">
        <w:rPr>
          <w:sz w:val="22"/>
          <w:szCs w:val="22"/>
        </w:rPr>
        <w:t>поставщика (подрядчика, исполнителя) № ________________</w:t>
      </w:r>
      <w:r w:rsidRPr="00650460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650460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0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1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2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3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14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650460">
        <w:rPr>
          <w:rFonts w:ascii="Courier New" w:hAnsi="Courier New" w:cs="Courier New"/>
          <w:sz w:val="16"/>
          <w:szCs w:val="16"/>
        </w:rPr>
        <w:t xml:space="preserve">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75C9C" w:rsidRPr="00650460">
        <w:tc>
          <w:tcPr>
            <w:tcW w:w="4139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650460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75C9C" w:rsidRPr="00650460">
        <w:tc>
          <w:tcPr>
            <w:tcW w:w="4139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2</w:t>
            </w:r>
          </w:p>
        </w:tc>
      </w:tr>
      <w:tr w:rsidR="00975C9C" w:rsidRPr="00650460">
        <w:tc>
          <w:tcPr>
            <w:tcW w:w="4139" w:type="dxa"/>
            <w:vMerge w:val="restart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9C" w:rsidRPr="00650460">
        <w:tc>
          <w:tcPr>
            <w:tcW w:w="4139" w:type="dxa"/>
            <w:vMerge/>
          </w:tcPr>
          <w:p w:rsidR="00975C9C" w:rsidRPr="00650460" w:rsidRDefault="00975C9C" w:rsidP="006504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975C9C" w:rsidRPr="00650460" w:rsidRDefault="00975C9C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Руководитель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┌────────────┬───┐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650460">
        <w:rPr>
          <w:sz w:val="20"/>
          <w:szCs w:val="20"/>
        </w:rPr>
        <w:t>--------------------------------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650460">
        <w:rPr>
          <w:sz w:val="20"/>
          <w:szCs w:val="20"/>
        </w:rPr>
        <w:t>&lt;*&gt; Заполняется при наличии.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650460">
        <w:rPr>
          <w:sz w:val="20"/>
          <w:szCs w:val="20"/>
        </w:rPr>
        <w:t>&lt;**&gt; Указывается исходящий номер.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650460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>
        <w:t>Тановский</w:t>
      </w:r>
      <w:r w:rsidRPr="00650460">
        <w:t xml:space="preserve"> сельсовет мун</w:t>
      </w:r>
      <w:r>
        <w:t xml:space="preserve">иципального района Благоварский </w:t>
      </w:r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15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┌───────────────────┐    Номер протокола при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(соответствует/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75C9C" w:rsidRPr="00650460" w:rsidRDefault="00975C9C" w:rsidP="00650460">
      <w:pPr>
        <w:ind w:right="-104"/>
        <w:outlineLvl w:val="0"/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975C9C" w:rsidRPr="00650460" w:rsidRDefault="00975C9C" w:rsidP="00650460">
      <w:pPr>
        <w:ind w:right="-104"/>
        <w:outlineLvl w:val="0"/>
      </w:pPr>
    </w:p>
    <w:p w:rsidR="00975C9C" w:rsidRPr="00650460" w:rsidRDefault="00975C9C" w:rsidP="00650460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№2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к Порядку взаимодействии при осуществлении контроля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Тановский</w:t>
      </w:r>
      <w:r w:rsidRPr="00650460">
        <w:rPr>
          <w:sz w:val="16"/>
          <w:szCs w:val="16"/>
        </w:rPr>
        <w:t xml:space="preserve"> сельсовет муниципального района  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Благоварский</w:t>
      </w:r>
      <w:r w:rsidRPr="00650460">
        <w:rPr>
          <w:sz w:val="16"/>
          <w:szCs w:val="16"/>
        </w:rPr>
        <w:t xml:space="preserve"> район Республики Башкортостан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частью 5 статьи 99 Федерального закона "О контрактной 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системе в сфере закупок товаров, работ, услуг для 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обеспечения государственных и муниципальных нужд", 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утвержденных Постановлением Правительства</w:t>
      </w:r>
    </w:p>
    <w:p w:rsidR="00975C9C" w:rsidRPr="00650460" w:rsidRDefault="00975C9C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Гриф секретности </w:t>
      </w:r>
      <w:hyperlink w:anchor="P285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650460">
        <w:rPr>
          <w:sz w:val="16"/>
          <w:szCs w:val="16"/>
        </w:rPr>
        <w:t xml:space="preserve">                                                                                                    └──────────       ─┘</w:t>
      </w:r>
    </w:p>
    <w:p w:rsidR="00975C9C" w:rsidRPr="00650460" w:rsidRDefault="00975C9C" w:rsidP="00650460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5" w:name="P239"/>
      <w:bookmarkEnd w:id="5"/>
      <w:r w:rsidRPr="00650460">
        <w:rPr>
          <w:sz w:val="22"/>
          <w:szCs w:val="22"/>
        </w:rPr>
        <w:t xml:space="preserve">Сведения о документации о закупке № __________________ </w:t>
      </w:r>
      <w:hyperlink w:anchor="P286" w:history="1">
        <w:r w:rsidRPr="00650460">
          <w:rPr>
            <w:color w:val="0000FF"/>
            <w:sz w:val="22"/>
            <w:szCs w:val="22"/>
          </w:rPr>
          <w:t>&lt;**&gt;</w:t>
        </w:r>
      </w:hyperlink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6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7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8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9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0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650460">
        <w:rPr>
          <w:rFonts w:ascii="Courier New" w:hAnsi="Courier New" w:cs="Courier New"/>
          <w:sz w:val="16"/>
          <w:szCs w:val="16"/>
        </w:rPr>
        <w:t xml:space="preserve">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75C9C" w:rsidRPr="00650460">
        <w:tc>
          <w:tcPr>
            <w:tcW w:w="4139" w:type="dxa"/>
            <w:tcBorders>
              <w:left w:val="single" w:sz="4" w:space="0" w:color="auto"/>
            </w:tcBorders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650460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975C9C" w:rsidRPr="00650460">
        <w:tc>
          <w:tcPr>
            <w:tcW w:w="4139" w:type="dxa"/>
            <w:tcBorders>
              <w:left w:val="single" w:sz="4" w:space="0" w:color="auto"/>
            </w:tcBorders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2</w:t>
            </w:r>
          </w:p>
        </w:tc>
      </w:tr>
      <w:tr w:rsidR="00975C9C" w:rsidRPr="006504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32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75C9C" w:rsidRPr="00650460" w:rsidRDefault="00975C9C" w:rsidP="0065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32" w:type="dxa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75C9C" w:rsidRPr="00650460" w:rsidRDefault="00975C9C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Руководитель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650460">
        <w:rPr>
          <w:sz w:val="22"/>
          <w:szCs w:val="22"/>
        </w:rPr>
        <w:t>--------------------------------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650460">
        <w:rPr>
          <w:sz w:val="20"/>
          <w:szCs w:val="20"/>
        </w:rPr>
        <w:t>&lt;*&gt; Заполняется при наличии.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650460">
        <w:rPr>
          <w:sz w:val="20"/>
          <w:szCs w:val="20"/>
        </w:rPr>
        <w:t>&lt;**&gt; Указывается исходящий номер.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650460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>
        <w:t xml:space="preserve"> Тановский</w:t>
      </w:r>
      <w:r w:rsidRPr="00650460">
        <w:t xml:space="preserve"> сельсовет мун</w:t>
      </w:r>
      <w:r>
        <w:t>иципального района  Благоварский</w:t>
      </w:r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21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(соответствует/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975C9C" w:rsidRPr="00650460" w:rsidRDefault="00975C9C" w:rsidP="00650460">
      <w:pPr>
        <w:ind w:right="-104"/>
        <w:outlineLvl w:val="0"/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975C9C" w:rsidRPr="00650460" w:rsidRDefault="00975C9C" w:rsidP="00650460">
      <w:pPr>
        <w:ind w:right="-104"/>
        <w:outlineLvl w:val="0"/>
      </w:pPr>
    </w:p>
    <w:p w:rsidR="00975C9C" w:rsidRPr="00650460" w:rsidRDefault="00975C9C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3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к Порядку взаимодействии при осуществлении контроля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Финансового органа  администрации сельского поселения 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 xml:space="preserve">Тановский </w:t>
      </w:r>
      <w:r w:rsidRPr="00650460">
        <w:rPr>
          <w:sz w:val="16"/>
          <w:szCs w:val="16"/>
        </w:rPr>
        <w:t xml:space="preserve"> сельсовет муни</w:t>
      </w:r>
      <w:r>
        <w:rPr>
          <w:sz w:val="16"/>
          <w:szCs w:val="16"/>
        </w:rPr>
        <w:t>ципального района  Благоварский</w:t>
      </w:r>
      <w:r w:rsidRPr="00650460">
        <w:rPr>
          <w:sz w:val="16"/>
          <w:szCs w:val="16"/>
        </w:rPr>
        <w:t xml:space="preserve"> район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Республики Башкортостан с субъектами контроля, указанными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 контроля, предусмотренного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"О контрактной системе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 услуг для обеспечения государственных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540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650460">
        <w:rPr>
          <w:rFonts w:ascii="Courier New" w:hAnsi="Courier New" w:cs="Courier New"/>
          <w:sz w:val="16"/>
          <w:szCs w:val="16"/>
        </w:rPr>
        <w:t xml:space="preserve">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└────────────────┘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</w:pPr>
      <w:bookmarkStart w:id="9" w:name="P474"/>
      <w:bookmarkEnd w:id="9"/>
    </w:p>
    <w:p w:rsidR="00975C9C" w:rsidRPr="00650460" w:rsidRDefault="00975C9C" w:rsidP="00650460">
      <w:pPr>
        <w:widowControl w:val="0"/>
        <w:autoSpaceDE w:val="0"/>
        <w:autoSpaceDN w:val="0"/>
        <w:jc w:val="center"/>
      </w:pPr>
      <w:r w:rsidRPr="00650460">
        <w:t>Сведения о проекте контракта, направляемого участнику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</w:pPr>
      <w:r w:rsidRPr="00650460">
        <w:t>закупки (контракта, возвращаемого участником закупки)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</w:pPr>
      <w:r w:rsidRPr="00650460">
        <w:t xml:space="preserve">№__________________ </w:t>
      </w:r>
      <w:hyperlink w:anchor="P541" w:history="1">
        <w:r w:rsidRPr="00650460">
          <w:rPr>
            <w:color w:val="0000FF"/>
          </w:rPr>
          <w:t>&lt;**&gt;</w:t>
        </w:r>
      </w:hyperlink>
    </w:p>
    <w:p w:rsidR="00975C9C" w:rsidRPr="00650460" w:rsidRDefault="00975C9C" w:rsidP="00650460">
      <w:pPr>
        <w:widowControl w:val="0"/>
        <w:autoSpaceDE w:val="0"/>
        <w:autoSpaceDN w:val="0"/>
        <w:jc w:val="center"/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22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23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24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25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6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650460">
        <w:rPr>
          <w:rFonts w:ascii="Courier New" w:hAnsi="Courier New" w:cs="Courier New"/>
          <w:sz w:val="16"/>
          <w:szCs w:val="16"/>
        </w:rPr>
        <w:t xml:space="preserve">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75C9C" w:rsidRPr="00650460">
        <w:tc>
          <w:tcPr>
            <w:tcW w:w="2228" w:type="dxa"/>
            <w:vMerge w:val="restart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  <w:r w:rsidRPr="00AF5DEB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75C9C" w:rsidRPr="00AF5DEB" w:rsidRDefault="00975C9C" w:rsidP="00AF5DEB">
            <w:pPr>
              <w:jc w:val="center"/>
              <w:rPr>
                <w:sz w:val="18"/>
                <w:szCs w:val="18"/>
              </w:rPr>
            </w:pPr>
            <w:r w:rsidRPr="00AF5DEB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  <w:r w:rsidRPr="00AF5DEB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F5DEB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975C9C" w:rsidRPr="00650460">
        <w:tc>
          <w:tcPr>
            <w:tcW w:w="2228" w:type="dxa"/>
            <w:vMerge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  <w:r w:rsidRPr="00AF5DEB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  <w:r w:rsidRPr="00AF5DEB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  <w:r w:rsidRPr="00AF5DEB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</w:p>
        </w:tc>
      </w:tr>
      <w:tr w:rsidR="00975C9C" w:rsidRPr="00650460">
        <w:tc>
          <w:tcPr>
            <w:tcW w:w="2228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75C9C" w:rsidRPr="00AF5DEB" w:rsidRDefault="00975C9C" w:rsidP="00650460">
            <w:pPr>
              <w:rPr>
                <w:sz w:val="18"/>
                <w:szCs w:val="18"/>
              </w:rPr>
            </w:pPr>
          </w:p>
        </w:tc>
      </w:tr>
    </w:tbl>
    <w:p w:rsidR="00975C9C" w:rsidRPr="00650460" w:rsidRDefault="00975C9C" w:rsidP="0065046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16"/>
        </w:rPr>
        <w:t>Увеличение  количества  поставляемого  товара  при заключении  контракта в</w:t>
      </w:r>
      <w:r w:rsidRPr="00650460">
        <w:rPr>
          <w:rFonts w:ascii="Courier New" w:hAnsi="Courier New" w:cs="Courier New"/>
          <w:sz w:val="16"/>
          <w:szCs w:val="16"/>
        </w:rPr>
        <w:t xml:space="preserve">                     ┌────────────┐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16"/>
        </w:rPr>
        <w:t xml:space="preserve">соответствии  с </w:t>
      </w:r>
      <w:hyperlink r:id="rId27" w:history="1">
        <w:r w:rsidRPr="00650460">
          <w:rPr>
            <w:color w:val="0000FF"/>
            <w:sz w:val="16"/>
            <w:szCs w:val="16"/>
          </w:rPr>
          <w:t>частью 18 статьи 34</w:t>
        </w:r>
      </w:hyperlink>
      <w:r w:rsidRPr="00650460">
        <w:rPr>
          <w:sz w:val="16"/>
          <w:szCs w:val="16"/>
        </w:rPr>
        <w:t xml:space="preserve"> Федерального закона от 5 апреля 2013 г</w:t>
      </w:r>
      <w:r w:rsidRPr="00650460">
        <w:rPr>
          <w:rFonts w:ascii="Courier New" w:hAnsi="Courier New" w:cs="Courier New"/>
          <w:sz w:val="16"/>
          <w:szCs w:val="16"/>
        </w:rPr>
        <w:t>.                     │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16"/>
        </w:rPr>
        <w:t>№ 44-ФЗ  "О  контрактной системе в сфере закупок товаров, робот, услуг для</w:t>
      </w:r>
      <w:r w:rsidRPr="00650460">
        <w:rPr>
          <w:rFonts w:ascii="Courier New" w:hAnsi="Courier New" w:cs="Courier New"/>
          <w:sz w:val="16"/>
          <w:szCs w:val="16"/>
        </w:rPr>
        <w:t xml:space="preserve">                     │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16"/>
        </w:rPr>
        <w:t xml:space="preserve">обеспечения государственных и муниципальных нужд" </w:t>
      </w: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└────────────┘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(да/нет)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Руководитель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6"/>
        </w:rPr>
      </w:pPr>
      <w:r w:rsidRPr="00650460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┌────────────┬───┐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75C9C" w:rsidRPr="00650460" w:rsidRDefault="00975C9C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650460">
        <w:rPr>
          <w:rFonts w:ascii="Calibri" w:hAnsi="Calibri" w:cs="Calibri"/>
        </w:rPr>
        <w:t>--------------------------------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jc w:val="both"/>
      </w:pPr>
      <w:bookmarkStart w:id="10" w:name="P540"/>
      <w:bookmarkEnd w:id="10"/>
      <w:r w:rsidRPr="00650460">
        <w:t>&lt;*&gt; Заполняется при наличии.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jc w:val="both"/>
      </w:pPr>
      <w:bookmarkStart w:id="11" w:name="P541"/>
      <w:bookmarkEnd w:id="11"/>
      <w:r w:rsidRPr="00650460">
        <w:t>&lt;**&gt; Указывается исходящий номер.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jc w:val="both"/>
      </w:pPr>
      <w:bookmarkStart w:id="12" w:name="P542"/>
      <w:bookmarkEnd w:id="12"/>
      <w:r w:rsidRPr="00650460">
        <w:t>&lt;***&gt; Устанавливается в рублевом эквиваленте при осуществлении оплаты закупки в иностранной валюте.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</w:pPr>
      <w:r w:rsidRPr="00650460">
        <w:t>Отметка Финансового органа администрации сельского поселения</w:t>
      </w:r>
      <w:r>
        <w:t xml:space="preserve"> Тановский </w:t>
      </w:r>
      <w:r w:rsidRPr="00650460">
        <w:t xml:space="preserve"> сельсовет мун</w:t>
      </w:r>
      <w:r>
        <w:t xml:space="preserve">иципального района  Благоварский </w:t>
      </w:r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28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(соответствует/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rPr>
          <w:rFonts w:ascii="Courier New" w:hAnsi="Courier New" w:cs="Courier New"/>
          <w:sz w:val="16"/>
          <w:szCs w:val="16"/>
        </w:rPr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  <w:r w:rsidRPr="00650460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975C9C" w:rsidRPr="00650460" w:rsidRDefault="00975C9C" w:rsidP="00650460"/>
    <w:p w:rsidR="00975C9C" w:rsidRPr="00650460" w:rsidRDefault="00975C9C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4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к Порядку взаимодействии при осуществлении контроля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Тановский</w:t>
      </w:r>
      <w:r w:rsidRPr="00650460">
        <w:rPr>
          <w:sz w:val="16"/>
          <w:szCs w:val="16"/>
        </w:rPr>
        <w:t xml:space="preserve"> сельсовет  муниципального района  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 xml:space="preserve">Благоварский </w:t>
      </w:r>
      <w:r w:rsidRPr="00650460">
        <w:rPr>
          <w:sz w:val="16"/>
          <w:szCs w:val="16"/>
        </w:rPr>
        <w:t xml:space="preserve"> район Республики Башкортостан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осуществления контроля, предусмотренного частью 5 статьи 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99 Федерального закона "О контрактной системе в сфере 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закупок товаров, работ, услуг для обеспечения государственных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975C9C" w:rsidRPr="00650460" w:rsidRDefault="00975C9C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650460">
        <w:rPr>
          <w:sz w:val="20"/>
          <w:szCs w:val="20"/>
        </w:rPr>
        <w:t>Сведения об объемах средств, указанных в правовых актах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(проектах таких актов, размещенных в установленном порядке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650460">
        <w:rPr>
          <w:sz w:val="20"/>
          <w:szCs w:val="20"/>
        </w:rPr>
        <w:t xml:space="preserve">в целях общественного обсуждения) </w:t>
      </w:r>
      <w:r w:rsidRPr="00650460">
        <w:rPr>
          <w:color w:val="000000"/>
          <w:sz w:val="20"/>
          <w:szCs w:val="20"/>
        </w:rPr>
        <w:t xml:space="preserve">администрации сельского поселения </w:t>
      </w:r>
      <w:r>
        <w:rPr>
          <w:color w:val="000000"/>
          <w:sz w:val="20"/>
          <w:szCs w:val="20"/>
        </w:rPr>
        <w:t xml:space="preserve"> Тановский </w:t>
      </w:r>
      <w:r w:rsidRPr="00650460">
        <w:rPr>
          <w:color w:val="000000"/>
          <w:sz w:val="20"/>
          <w:szCs w:val="20"/>
        </w:rPr>
        <w:t xml:space="preserve"> сельсовет мун</w:t>
      </w:r>
      <w:r>
        <w:rPr>
          <w:color w:val="000000"/>
          <w:sz w:val="20"/>
          <w:szCs w:val="20"/>
        </w:rPr>
        <w:t xml:space="preserve">иципального района  Благоварский </w:t>
      </w:r>
      <w:r w:rsidRPr="00650460">
        <w:rPr>
          <w:color w:val="000000"/>
          <w:sz w:val="20"/>
          <w:szCs w:val="20"/>
        </w:rPr>
        <w:t xml:space="preserve"> район Республики Башкортостан 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color w:val="000000"/>
          <w:sz w:val="20"/>
          <w:szCs w:val="20"/>
        </w:rPr>
        <w:t>и иных документах</w:t>
      </w:r>
      <w:r w:rsidRPr="00650460">
        <w:rPr>
          <w:sz w:val="20"/>
          <w:szCs w:val="20"/>
        </w:rPr>
        <w:t xml:space="preserve"> предусматривающих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в соответствии с бюджетным законодательством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Российской Федерации возможность заключения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муниципального  контракта на срок, превышающий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срок действия доведенных лимитов бюджетных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обязательств на 20___ год и на плановый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период 20___ и 20___ годов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реестру│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29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30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31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32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650460">
        <w:rPr>
          <w:rFonts w:ascii="Courier New" w:hAnsi="Courier New" w:cs="Courier New"/>
          <w:sz w:val="16"/>
          <w:szCs w:val="16"/>
        </w:rPr>
        <w:t>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распорядителя бюджетных средств _____________________________  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Вид документа                   _____________________________  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33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650460">
        <w:rPr>
          <w:rFonts w:ascii="Courier New" w:hAnsi="Courier New" w:cs="Courier New"/>
          <w:sz w:val="16"/>
          <w:szCs w:val="16"/>
        </w:rPr>
        <w:t xml:space="preserve">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975C9C" w:rsidRPr="00650460" w:rsidRDefault="00975C9C" w:rsidP="0065046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650460"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975C9C" w:rsidRPr="00650460" w:rsidRDefault="00975C9C" w:rsidP="0065046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  <w:sectPr w:rsidR="00975C9C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975C9C" w:rsidRPr="00650460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ind w:left="-222"/>
              <w:jc w:val="center"/>
            </w:pPr>
            <w:r w:rsidRPr="00650460">
              <w:rPr>
                <w:sz w:val="22"/>
                <w:szCs w:val="22"/>
              </w:rPr>
              <w:t>N п/п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75C9C" w:rsidRPr="0065046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на последующие годы</w:t>
            </w:r>
          </w:p>
        </w:tc>
      </w:tr>
      <w:tr w:rsidR="00975C9C" w:rsidRPr="00650460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</w:tr>
      <w:tr w:rsidR="00975C9C" w:rsidRPr="0065046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</w:tr>
      <w:tr w:rsidR="00975C9C" w:rsidRPr="00650460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  <w:r w:rsidRPr="00650460">
              <w:rPr>
                <w:sz w:val="22"/>
                <w:szCs w:val="22"/>
              </w:rPr>
              <w:t>11</w:t>
            </w:r>
          </w:p>
        </w:tc>
      </w:tr>
      <w:tr w:rsidR="00975C9C" w:rsidRPr="006504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vMerge w:val="restart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vMerge w:val="restart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  <w:vMerge w:val="restart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680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753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529" w:type="dxa"/>
            <w:vMerge/>
          </w:tcPr>
          <w:p w:rsidR="00975C9C" w:rsidRPr="00650460" w:rsidRDefault="00975C9C" w:rsidP="00650460">
            <w:pPr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709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right"/>
            </w:pPr>
            <w:r w:rsidRPr="00650460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709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  <w:tcBorders>
              <w:top w:val="nil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right"/>
            </w:pPr>
            <w:r w:rsidRPr="0065046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5C9C" w:rsidRPr="00650460" w:rsidRDefault="00975C9C" w:rsidP="0065046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>Руководитель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>(уполномоченное лицо)  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16"/>
        </w:rPr>
        <w:t xml:space="preserve">     "___" ___________________ 20____ г.</w:t>
      </w: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┌────────────┬───┐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75C9C" w:rsidRPr="00650460" w:rsidRDefault="00975C9C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└────────────┴</w:t>
      </w:r>
      <w:r w:rsidRPr="00650460">
        <w:rPr>
          <w:rFonts w:ascii="Calibri" w:hAnsi="Calibri" w:cs="Calibri"/>
        </w:rPr>
        <w:t>--------------------------------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jc w:val="both"/>
      </w:pPr>
      <w:r w:rsidRPr="00650460">
        <w:t>&lt;*&gt; Заполняется при наличии.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jc w:val="both"/>
      </w:pPr>
      <w:r w:rsidRPr="00650460">
        <w:t>&lt;**&gt; Указывается исходящий номер.</w:t>
      </w:r>
    </w:p>
    <w:p w:rsidR="00975C9C" w:rsidRPr="00650460" w:rsidRDefault="00975C9C" w:rsidP="00650460">
      <w:pPr>
        <w:widowControl w:val="0"/>
        <w:autoSpaceDE w:val="0"/>
        <w:autoSpaceDN w:val="0"/>
        <w:ind w:firstLine="539"/>
        <w:jc w:val="both"/>
      </w:pPr>
      <w:r w:rsidRPr="00650460">
        <w:t>&lt;***&gt; Устанавливается в рублевом эквиваленте при осуществлении оплаты закупки в иностранной валюте.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>
        <w:t xml:space="preserve"> Тановский </w:t>
      </w:r>
      <w:r w:rsidRPr="00650460">
        <w:t xml:space="preserve"> сельсовет муниципального район</w:t>
      </w:r>
      <w:r>
        <w:t>а  Благоварски</w:t>
      </w:r>
      <w:r w:rsidRPr="00650460">
        <w:t xml:space="preserve">й район Республики Башкортостан о соответствии контролируемой информации требованиям, установленным </w:t>
      </w:r>
      <w:hyperlink r:id="rId34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(соответствует/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  <w:sectPr w:rsidR="00975C9C" w:rsidRPr="00650460" w:rsidSect="000807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650460">
        <w:rPr>
          <w:rFonts w:ascii="Courier New" w:hAnsi="Courier New" w:cs="Courier New"/>
          <w:sz w:val="16"/>
          <w:szCs w:val="16"/>
        </w:rPr>
        <w:t>"___" ___________________ 20____</w:t>
      </w:r>
    </w:p>
    <w:p w:rsidR="00975C9C" w:rsidRPr="00650460" w:rsidRDefault="00975C9C" w:rsidP="00650460">
      <w:pPr>
        <w:ind w:right="-104"/>
        <w:outlineLvl w:val="0"/>
      </w:pPr>
    </w:p>
    <w:p w:rsidR="00975C9C" w:rsidRPr="00650460" w:rsidRDefault="00975C9C" w:rsidP="00650460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5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к Порядку взаимодействии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при осуществлении контроля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Администрации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 xml:space="preserve">Тановский </w:t>
      </w:r>
      <w:r w:rsidRPr="00650460">
        <w:rPr>
          <w:sz w:val="16"/>
          <w:szCs w:val="16"/>
        </w:rPr>
        <w:t xml:space="preserve"> сельсовет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мун</w:t>
      </w:r>
      <w:r>
        <w:rPr>
          <w:sz w:val="16"/>
          <w:szCs w:val="16"/>
        </w:rPr>
        <w:t xml:space="preserve">иципального района  Благоварский </w:t>
      </w:r>
      <w:r w:rsidRPr="00650460">
        <w:rPr>
          <w:sz w:val="16"/>
          <w:szCs w:val="16"/>
        </w:rPr>
        <w:t xml:space="preserve"> район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Республики Башкортостан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с субъектами контроля, указанными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контроля, предусмотренного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услуг для обеспечения государственных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Постановлением Правительства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</w:t>
      </w:r>
    </w:p>
    <w:p w:rsidR="00975C9C" w:rsidRPr="00650460" w:rsidRDefault="00975C9C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от 12 декабря 2015 г. № 1367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650460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650460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4" w:name="P733"/>
      <w:bookmarkEnd w:id="14"/>
      <w:r w:rsidRPr="00650460">
        <w:rPr>
          <w:sz w:val="22"/>
          <w:szCs w:val="22"/>
        </w:rPr>
        <w:t>Протокол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0460">
        <w:rPr>
          <w:sz w:val="22"/>
          <w:szCs w:val="22"/>
        </w:rPr>
        <w:t>о несоответствии контролируемой информации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0460">
        <w:rPr>
          <w:sz w:val="22"/>
          <w:szCs w:val="22"/>
        </w:rPr>
        <w:t>требованиям, установленным частью 5 статьи 99 Федерального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0460">
        <w:rPr>
          <w:sz w:val="22"/>
          <w:szCs w:val="22"/>
        </w:rPr>
        <w:t>закона от 5 апреля 2013 года № 44-ФЗ "О контрактной системе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0460">
        <w:rPr>
          <w:sz w:val="22"/>
          <w:szCs w:val="22"/>
        </w:rPr>
        <w:t>в сфере закупок товаров, работ, услуг для обеспечения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0460">
        <w:rPr>
          <w:sz w:val="22"/>
          <w:szCs w:val="22"/>
        </w:rPr>
        <w:t>государственных и муниципальных нужд"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0460">
        <w:rPr>
          <w:sz w:val="22"/>
          <w:szCs w:val="22"/>
        </w:rPr>
        <w:t>№__________________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807"/>
        <w:gridCol w:w="2393"/>
        <w:gridCol w:w="2393"/>
      </w:tblGrid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Коды</w:t>
            </w: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5DEB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5DEB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 xml:space="preserve">по </w:t>
            </w:r>
            <w:hyperlink r:id="rId35" w:history="1">
              <w:r w:rsidRPr="00AF5DEB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5DEB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 xml:space="preserve">по </w:t>
            </w:r>
            <w:hyperlink r:id="rId36" w:history="1">
              <w:r w:rsidRPr="00AF5DEB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5DEB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 xml:space="preserve">по </w:t>
            </w:r>
            <w:hyperlink r:id="rId37" w:history="1">
              <w:r w:rsidRPr="00AF5DEB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  <w:tr w:rsidR="00975C9C" w:rsidRPr="0065046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5DEB">
              <w:rPr>
                <w:sz w:val="16"/>
                <w:szCs w:val="16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16"/>
                <w:szCs w:val="16"/>
              </w:rPr>
              <w:t xml:space="preserve">по </w:t>
            </w:r>
            <w:hyperlink r:id="rId38" w:history="1">
              <w:r w:rsidRPr="00AF5DEB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75C9C" w:rsidRPr="00650460" w:rsidRDefault="00975C9C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975C9C" w:rsidRPr="00650460">
        <w:tc>
          <w:tcPr>
            <w:tcW w:w="4785" w:type="dxa"/>
            <w:gridSpan w:val="3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AF5DEB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975C9C" w:rsidRPr="00AF5DEB" w:rsidRDefault="00975C9C" w:rsidP="00AF5DEB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AF5DEB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975C9C" w:rsidRPr="00650460"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номер</w:t>
            </w:r>
          </w:p>
        </w:tc>
      </w:tr>
      <w:tr w:rsidR="00975C9C" w:rsidRPr="00650460"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</w:pPr>
            <w:r w:rsidRPr="00AF5DEB">
              <w:rPr>
                <w:sz w:val="22"/>
                <w:szCs w:val="22"/>
              </w:rPr>
              <w:t>6</w:t>
            </w:r>
          </w:p>
        </w:tc>
      </w:tr>
      <w:tr w:rsidR="00975C9C" w:rsidRPr="00650460">
        <w:tc>
          <w:tcPr>
            <w:tcW w:w="1595" w:type="dxa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975C9C" w:rsidRPr="00AF5DEB" w:rsidRDefault="00975C9C" w:rsidP="00AF5D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</w:tr>
    </w:tbl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>Выявленные несоответствия: 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                          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                          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                          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                          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                          ___________________________________________________________________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>Ответственный исполнитель  _____________________  ________________  _______________________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975C9C" w:rsidRPr="00650460" w:rsidRDefault="00975C9C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16"/>
        </w:rPr>
        <w:t xml:space="preserve"> "___" ___________________ 20____ г.</w:t>
      </w:r>
    </w:p>
    <w:p w:rsidR="00975C9C" w:rsidRPr="00650460" w:rsidRDefault="00975C9C" w:rsidP="00650460">
      <w:pPr>
        <w:widowControl w:val="0"/>
        <w:autoSpaceDE w:val="0"/>
        <w:autoSpaceDN w:val="0"/>
        <w:rPr>
          <w:sz w:val="22"/>
          <w:szCs w:val="22"/>
        </w:rPr>
      </w:pPr>
    </w:p>
    <w:p w:rsidR="00975C9C" w:rsidRPr="00650460" w:rsidRDefault="00975C9C" w:rsidP="00650460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650460">
        <w:rPr>
          <w:sz w:val="22"/>
          <w:szCs w:val="22"/>
        </w:rPr>
        <w:t>--------------------------------</w:t>
      </w:r>
    </w:p>
    <w:p w:rsidR="00975C9C" w:rsidRPr="00650460" w:rsidRDefault="00975C9C" w:rsidP="00650460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650460">
        <w:rPr>
          <w:sz w:val="18"/>
          <w:szCs w:val="18"/>
        </w:rPr>
        <w:t>&lt;*&gt; Заполняется при наличии</w:t>
      </w:r>
    </w:p>
    <w:p w:rsidR="00975C9C" w:rsidRPr="00650460" w:rsidRDefault="00975C9C" w:rsidP="00650460">
      <w:pPr>
        <w:widowControl w:val="0"/>
        <w:autoSpaceDE w:val="0"/>
        <w:autoSpaceDN w:val="0"/>
        <w:jc w:val="center"/>
      </w:pPr>
    </w:p>
    <w:p w:rsidR="00975C9C" w:rsidRDefault="00975C9C" w:rsidP="0026520B">
      <w:pPr>
        <w:rPr>
          <w:color w:val="000000"/>
          <w:sz w:val="28"/>
          <w:szCs w:val="28"/>
          <w:shd w:val="clear" w:color="auto" w:fill="FFFFFF"/>
        </w:rPr>
      </w:pPr>
    </w:p>
    <w:p w:rsidR="00975C9C" w:rsidRDefault="00975C9C" w:rsidP="0026520B">
      <w:pPr>
        <w:tabs>
          <w:tab w:val="left" w:pos="924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975C9C" w:rsidRPr="00E215C8" w:rsidRDefault="00975C9C" w:rsidP="00931B97">
      <w:pPr>
        <w:jc w:val="both"/>
      </w:pPr>
      <w:r>
        <w:rPr>
          <w:sz w:val="28"/>
          <w:szCs w:val="28"/>
        </w:rPr>
        <w:t xml:space="preserve">        </w:t>
      </w:r>
      <w:r w:rsidRPr="00E215C8">
        <w:t xml:space="preserve">Глава администрации </w:t>
      </w:r>
    </w:p>
    <w:p w:rsidR="00975C9C" w:rsidRPr="00E215C8" w:rsidRDefault="00975C9C" w:rsidP="00931B97">
      <w:pPr>
        <w:jc w:val="both"/>
      </w:pPr>
      <w:r w:rsidRPr="00E215C8">
        <w:t xml:space="preserve">             сельского поселения</w:t>
      </w:r>
    </w:p>
    <w:p w:rsidR="00975C9C" w:rsidRPr="00E215C8" w:rsidRDefault="00975C9C" w:rsidP="00931B97">
      <w:pPr>
        <w:jc w:val="both"/>
      </w:pPr>
      <w:r>
        <w:t xml:space="preserve">             Тановский </w:t>
      </w:r>
      <w:r w:rsidRPr="00E215C8">
        <w:t xml:space="preserve">  сельсовет </w:t>
      </w:r>
    </w:p>
    <w:p w:rsidR="00975C9C" w:rsidRPr="00E215C8" w:rsidRDefault="00975C9C" w:rsidP="00931B97">
      <w:pPr>
        <w:jc w:val="both"/>
      </w:pPr>
      <w:r w:rsidRPr="00E215C8">
        <w:t xml:space="preserve">             муниципального района</w:t>
      </w:r>
    </w:p>
    <w:p w:rsidR="00975C9C" w:rsidRPr="00E215C8" w:rsidRDefault="00975C9C" w:rsidP="00931B97">
      <w:pPr>
        <w:keepNext/>
        <w:outlineLvl w:val="5"/>
      </w:pPr>
      <w:r>
        <w:t xml:space="preserve">             Благоварский </w:t>
      </w:r>
      <w:r w:rsidRPr="00E215C8">
        <w:t xml:space="preserve"> район </w:t>
      </w:r>
    </w:p>
    <w:p w:rsidR="00975C9C" w:rsidRPr="00E215C8" w:rsidRDefault="00975C9C" w:rsidP="00931B97">
      <w:pPr>
        <w:keepNext/>
        <w:outlineLvl w:val="5"/>
      </w:pPr>
      <w:r w:rsidRPr="00E215C8">
        <w:t xml:space="preserve">             Республики Башкортостан:                        </w:t>
      </w:r>
      <w:r>
        <w:t xml:space="preserve">                  М,Ф.Гималетдинов</w:t>
      </w:r>
    </w:p>
    <w:p w:rsidR="00975C9C" w:rsidRDefault="00975C9C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975C9C" w:rsidRDefault="00975C9C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975C9C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auto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auto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auto"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auto"/>
        <w:sz w:val="21"/>
        <w:szCs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auto"/>
        <w:sz w:val="21"/>
        <w:szCs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auto"/>
        <w:sz w:val="21"/>
        <w:szCs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auto"/>
        <w:sz w:val="21"/>
        <w:szCs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auto"/>
        <w:sz w:val="21"/>
        <w:szCs w:val="21"/>
      </w:rPr>
    </w:lvl>
  </w:abstractNum>
  <w:abstractNum w:abstractNumId="4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F9"/>
    <w:rsid w:val="00080757"/>
    <w:rsid w:val="000A5111"/>
    <w:rsid w:val="000E0C8A"/>
    <w:rsid w:val="0018667C"/>
    <w:rsid w:val="0021064C"/>
    <w:rsid w:val="00213629"/>
    <w:rsid w:val="00251EEC"/>
    <w:rsid w:val="0026520B"/>
    <w:rsid w:val="00272D34"/>
    <w:rsid w:val="00282949"/>
    <w:rsid w:val="002D23C2"/>
    <w:rsid w:val="003773D6"/>
    <w:rsid w:val="00397DAE"/>
    <w:rsid w:val="00447736"/>
    <w:rsid w:val="004A6E03"/>
    <w:rsid w:val="004D7B8F"/>
    <w:rsid w:val="00517988"/>
    <w:rsid w:val="00524D34"/>
    <w:rsid w:val="0056759F"/>
    <w:rsid w:val="005A3ED4"/>
    <w:rsid w:val="005B0D73"/>
    <w:rsid w:val="005D3711"/>
    <w:rsid w:val="00630C68"/>
    <w:rsid w:val="00650460"/>
    <w:rsid w:val="0070092B"/>
    <w:rsid w:val="00721BA1"/>
    <w:rsid w:val="0072684C"/>
    <w:rsid w:val="00781013"/>
    <w:rsid w:val="00793CF9"/>
    <w:rsid w:val="007A2979"/>
    <w:rsid w:val="007D2451"/>
    <w:rsid w:val="007F3632"/>
    <w:rsid w:val="00824686"/>
    <w:rsid w:val="00892E23"/>
    <w:rsid w:val="008D7EEA"/>
    <w:rsid w:val="008F42FB"/>
    <w:rsid w:val="00914E82"/>
    <w:rsid w:val="00931B97"/>
    <w:rsid w:val="00964EC0"/>
    <w:rsid w:val="00975C9C"/>
    <w:rsid w:val="0098338D"/>
    <w:rsid w:val="009A5D8F"/>
    <w:rsid w:val="009B5000"/>
    <w:rsid w:val="00A24135"/>
    <w:rsid w:val="00A51965"/>
    <w:rsid w:val="00A94FA2"/>
    <w:rsid w:val="00AF5DEB"/>
    <w:rsid w:val="00BA42CC"/>
    <w:rsid w:val="00BF3BAF"/>
    <w:rsid w:val="00C00AC0"/>
    <w:rsid w:val="00C4039B"/>
    <w:rsid w:val="00C43E77"/>
    <w:rsid w:val="00C56675"/>
    <w:rsid w:val="00C848CD"/>
    <w:rsid w:val="00C90A6F"/>
    <w:rsid w:val="00CC1930"/>
    <w:rsid w:val="00CC4854"/>
    <w:rsid w:val="00CC6C6D"/>
    <w:rsid w:val="00D336A3"/>
    <w:rsid w:val="00D529A8"/>
    <w:rsid w:val="00D976FB"/>
    <w:rsid w:val="00DA698C"/>
    <w:rsid w:val="00DB02FA"/>
    <w:rsid w:val="00DB710E"/>
    <w:rsid w:val="00DD7188"/>
    <w:rsid w:val="00DE5654"/>
    <w:rsid w:val="00E022B2"/>
    <w:rsid w:val="00E215C8"/>
    <w:rsid w:val="00E51AF9"/>
    <w:rsid w:val="00E96569"/>
    <w:rsid w:val="00EC351B"/>
    <w:rsid w:val="00F063A6"/>
    <w:rsid w:val="00F1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 w:cs="Arial New Bash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04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0460"/>
    <w:rPr>
      <w:rFonts w:ascii="Arial New Bash" w:hAnsi="Arial New Bash" w:cs="Arial New Bash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4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EE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2652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833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50460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04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046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">
    <w:name w:val="Стиль1"/>
    <w:basedOn w:val="BodyTextIndent"/>
    <w:uiPriority w:val="99"/>
    <w:rsid w:val="00650460"/>
    <w:pPr>
      <w:spacing w:after="120"/>
      <w:ind w:left="283" w:firstLine="0"/>
      <w:jc w:val="left"/>
    </w:pPr>
  </w:style>
  <w:style w:type="character" w:styleId="Hyperlink">
    <w:name w:val="Hyperlink"/>
    <w:basedOn w:val="DefaultParagraphFont"/>
    <w:uiPriority w:val="99"/>
    <w:semiHidden/>
    <w:rsid w:val="00650460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50460"/>
    <w:pPr>
      <w:jc w:val="both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04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46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650460"/>
    <w:rPr>
      <w:rFonts w:eastAsia="Times New Roman" w:cs="Calibri"/>
    </w:rPr>
  </w:style>
  <w:style w:type="table" w:customStyle="1" w:styleId="10">
    <w:name w:val="Сетка таблицы1"/>
    <w:uiPriority w:val="99"/>
    <w:rsid w:val="0065046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0460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5D4A30B37D1635FC7322CEEB59A67250C68252996C9B1079C2E06CAw7KE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7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hyperlink" Target="consultantplus://offline/ref=34ABCE763F6506F4FE6377B15300A53ADA04D2A60D36D1635FC7322CEEB59A67250C68252996C9B1079C2E06CAw7KE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2" Type="http://schemas.openxmlformats.org/officeDocument/2006/relationships/hyperlink" Target="consultantplus://offline/ref=34ABCE763F6506F4FE6377B15300A53ADA04D2A60D36D1635FC7322CEEB59A67250C68252996C9B1079C2E06CAw7KEG" TargetMode="External"/><Relationship Id="rId27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5" Type="http://schemas.openxmlformats.org/officeDocument/2006/relationships/hyperlink" Target="consultantplus://offline/ref=34ABCE763F6506F4FE6377B15300A53ADA04D2A60D36D1635FC7322CEEB59A67250C68252996C9B1079C2E06CAw7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21</Pages>
  <Words>8517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LAN_OS</cp:lastModifiedBy>
  <cp:revision>35</cp:revision>
  <cp:lastPrinted>2019-02-06T09:59:00Z</cp:lastPrinted>
  <dcterms:created xsi:type="dcterms:W3CDTF">2016-11-30T04:04:00Z</dcterms:created>
  <dcterms:modified xsi:type="dcterms:W3CDTF">2020-03-26T11:30:00Z</dcterms:modified>
</cp:coreProperties>
</file>